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CCE7" w14:textId="17C8B3FB" w:rsidR="00E8593B" w:rsidRPr="00BD7DCE" w:rsidRDefault="00E8593B" w:rsidP="00E8593B">
      <w:pPr>
        <w:ind w:left="0" w:firstLine="0"/>
        <w:rPr>
          <w:b/>
          <w:bCs/>
          <w:sz w:val="28"/>
          <w:szCs w:val="28"/>
        </w:rPr>
      </w:pPr>
      <w:r w:rsidRPr="00BD7DCE">
        <w:rPr>
          <w:b/>
          <w:bCs/>
          <w:sz w:val="28"/>
          <w:szCs w:val="28"/>
        </w:rPr>
        <w:t xml:space="preserve">People &amp; Places Board – report from Cllr </w:t>
      </w:r>
      <w:r w:rsidR="00066948">
        <w:rPr>
          <w:b/>
          <w:bCs/>
          <w:sz w:val="28"/>
          <w:szCs w:val="28"/>
        </w:rPr>
        <w:t>Kevin Bentley</w:t>
      </w:r>
      <w:r w:rsidRPr="00BD7DCE">
        <w:rPr>
          <w:b/>
          <w:bCs/>
          <w:sz w:val="28"/>
          <w:szCs w:val="28"/>
        </w:rPr>
        <w:t xml:space="preserve"> (Chairman)</w:t>
      </w:r>
    </w:p>
    <w:p w14:paraId="5BE8CA78" w14:textId="46DEDFE2" w:rsidR="00066948" w:rsidRPr="000D1D69" w:rsidRDefault="003B490E" w:rsidP="00E8593B">
      <w:pPr>
        <w:pStyle w:val="Default"/>
        <w:rPr>
          <w:b/>
          <w:bCs/>
          <w:color w:val="auto"/>
          <w:sz w:val="22"/>
          <w:szCs w:val="22"/>
          <w:lang w:val="en"/>
        </w:rPr>
      </w:pPr>
      <w:bookmarkStart w:id="0" w:name="_Hlk22821076"/>
      <w:r w:rsidRPr="000D1D69">
        <w:rPr>
          <w:b/>
          <w:bCs/>
          <w:color w:val="auto"/>
          <w:sz w:val="22"/>
          <w:szCs w:val="22"/>
          <w:lang w:val="en"/>
        </w:rPr>
        <w:t>D</w:t>
      </w:r>
      <w:r w:rsidR="00066948" w:rsidRPr="000D1D69">
        <w:rPr>
          <w:b/>
          <w:bCs/>
          <w:color w:val="auto"/>
          <w:sz w:val="22"/>
          <w:szCs w:val="22"/>
          <w:lang w:val="en"/>
        </w:rPr>
        <w:t>evolution</w:t>
      </w:r>
    </w:p>
    <w:p w14:paraId="2361DD50" w14:textId="77777777" w:rsidR="003B490E" w:rsidRDefault="003B490E" w:rsidP="003B490E">
      <w:pPr>
        <w:pStyle w:val="Default"/>
        <w:rPr>
          <w:bCs/>
          <w:color w:val="292B2C"/>
          <w:sz w:val="22"/>
          <w:szCs w:val="22"/>
          <w:lang w:val="en"/>
        </w:rPr>
      </w:pPr>
    </w:p>
    <w:p w14:paraId="46D7B28D" w14:textId="6C80A93B" w:rsidR="00C333A3" w:rsidRDefault="00C333A3" w:rsidP="008D45E6">
      <w:pPr>
        <w:pStyle w:val="Default"/>
        <w:numPr>
          <w:ilvl w:val="0"/>
          <w:numId w:val="20"/>
        </w:numPr>
        <w:rPr>
          <w:bCs/>
          <w:color w:val="292B2C"/>
          <w:sz w:val="22"/>
          <w:szCs w:val="22"/>
          <w:lang w:val="en"/>
        </w:rPr>
      </w:pPr>
      <w:r>
        <w:rPr>
          <w:bCs/>
          <w:color w:val="292B2C"/>
          <w:sz w:val="22"/>
          <w:szCs w:val="22"/>
          <w:lang w:val="en"/>
        </w:rPr>
        <w:t xml:space="preserve">Making a strong case for </w:t>
      </w:r>
      <w:r w:rsidR="00D450A5">
        <w:rPr>
          <w:bCs/>
          <w:color w:val="292B2C"/>
          <w:sz w:val="22"/>
          <w:szCs w:val="22"/>
          <w:lang w:val="en"/>
        </w:rPr>
        <w:t xml:space="preserve">more </w:t>
      </w:r>
      <w:r>
        <w:rPr>
          <w:bCs/>
          <w:color w:val="292B2C"/>
          <w:sz w:val="22"/>
          <w:szCs w:val="22"/>
          <w:lang w:val="en"/>
        </w:rPr>
        <w:t>devolution outside of urban areas has been a key focus for the People and Places Board since its inception. Devolution to non-metropolitan areas will remain a central focus for the Board over the coming year, as reflected in the Board</w:t>
      </w:r>
      <w:r w:rsidR="00C108A5">
        <w:rPr>
          <w:bCs/>
          <w:color w:val="292B2C"/>
          <w:sz w:val="22"/>
          <w:szCs w:val="22"/>
          <w:lang w:val="en"/>
        </w:rPr>
        <w:t>’s</w:t>
      </w:r>
      <w:r>
        <w:rPr>
          <w:bCs/>
          <w:color w:val="292B2C"/>
          <w:sz w:val="22"/>
          <w:szCs w:val="22"/>
          <w:lang w:val="en"/>
        </w:rPr>
        <w:t xml:space="preserve"> work programme agreed in September.</w:t>
      </w:r>
      <w:r>
        <w:rPr>
          <w:rStyle w:val="FootnoteReference"/>
          <w:bCs/>
          <w:color w:val="292B2C"/>
          <w:sz w:val="22"/>
          <w:szCs w:val="22"/>
          <w:lang w:val="en"/>
        </w:rPr>
        <w:footnoteReference w:id="1"/>
      </w:r>
      <w:r>
        <w:rPr>
          <w:bCs/>
          <w:color w:val="292B2C"/>
          <w:sz w:val="22"/>
          <w:szCs w:val="22"/>
          <w:lang w:val="en"/>
        </w:rPr>
        <w:t xml:space="preserve">  </w:t>
      </w:r>
    </w:p>
    <w:p w14:paraId="29EECDEF" w14:textId="77777777" w:rsidR="000D1D69" w:rsidRDefault="000D1D69" w:rsidP="000D1D69">
      <w:pPr>
        <w:pStyle w:val="Default"/>
        <w:ind w:left="720"/>
        <w:rPr>
          <w:bCs/>
          <w:color w:val="292B2C"/>
          <w:sz w:val="22"/>
          <w:szCs w:val="22"/>
          <w:lang w:val="en"/>
        </w:rPr>
      </w:pPr>
    </w:p>
    <w:p w14:paraId="58BA377A" w14:textId="48A73897" w:rsidR="000D1D69" w:rsidRPr="00604D3E" w:rsidRDefault="00C333A3" w:rsidP="000D1D69">
      <w:pPr>
        <w:pStyle w:val="Default"/>
        <w:numPr>
          <w:ilvl w:val="0"/>
          <w:numId w:val="20"/>
        </w:numPr>
        <w:rPr>
          <w:bCs/>
          <w:color w:val="292B2C"/>
          <w:sz w:val="22"/>
          <w:szCs w:val="22"/>
          <w:lang w:val="en"/>
        </w:rPr>
      </w:pPr>
      <w:r>
        <w:rPr>
          <w:bCs/>
          <w:color w:val="292B2C"/>
          <w:sz w:val="22"/>
          <w:szCs w:val="22"/>
          <w:lang w:val="en"/>
        </w:rPr>
        <w:t>T</w:t>
      </w:r>
      <w:r w:rsidR="000D1D69">
        <w:rPr>
          <w:bCs/>
          <w:color w:val="292B2C"/>
          <w:sz w:val="22"/>
          <w:szCs w:val="22"/>
          <w:lang w:val="en"/>
        </w:rPr>
        <w:t>he Board will continue to advance the views and priorities of non-metropolitan England to shape the national devolution debate and influence government policy development.</w:t>
      </w:r>
      <w:r w:rsidR="000D1D69" w:rsidRPr="000D1D69">
        <w:rPr>
          <w:bCs/>
          <w:color w:val="292B2C"/>
          <w:sz w:val="22"/>
          <w:szCs w:val="22"/>
          <w:lang w:val="en"/>
        </w:rPr>
        <w:t xml:space="preserve"> </w:t>
      </w:r>
      <w:r w:rsidR="000D1D69">
        <w:rPr>
          <w:bCs/>
          <w:color w:val="292B2C"/>
          <w:sz w:val="22"/>
          <w:szCs w:val="22"/>
          <w:lang w:val="en"/>
        </w:rPr>
        <w:t>In particular, t</w:t>
      </w:r>
      <w:r w:rsidR="000D1D69" w:rsidRPr="00604D3E">
        <w:rPr>
          <w:bCs/>
          <w:color w:val="292B2C"/>
          <w:sz w:val="22"/>
          <w:szCs w:val="22"/>
          <w:lang w:val="en"/>
        </w:rPr>
        <w:t xml:space="preserve">he Board will </w:t>
      </w:r>
      <w:r w:rsidR="000D1D69">
        <w:rPr>
          <w:bCs/>
          <w:color w:val="292B2C"/>
          <w:sz w:val="22"/>
          <w:szCs w:val="22"/>
          <w:lang w:val="en"/>
        </w:rPr>
        <w:t>seek</w:t>
      </w:r>
      <w:r w:rsidR="000D1D69" w:rsidRPr="00604D3E">
        <w:rPr>
          <w:bCs/>
          <w:color w:val="292B2C"/>
          <w:sz w:val="22"/>
          <w:szCs w:val="22"/>
          <w:lang w:val="en"/>
        </w:rPr>
        <w:t xml:space="preserve"> to provide a strong voice for non-metropolitan England in supporting the LGA’s wider work on the</w:t>
      </w:r>
      <w:r w:rsidR="000D1D69">
        <w:rPr>
          <w:bCs/>
          <w:color w:val="292B2C"/>
          <w:sz w:val="22"/>
          <w:szCs w:val="22"/>
          <w:lang w:val="en"/>
        </w:rPr>
        <w:t xml:space="preserve"> government’s</w:t>
      </w:r>
      <w:r w:rsidR="000D1D69" w:rsidRPr="00604D3E">
        <w:rPr>
          <w:bCs/>
          <w:color w:val="292B2C"/>
          <w:sz w:val="22"/>
          <w:szCs w:val="22"/>
          <w:lang w:val="en"/>
        </w:rPr>
        <w:t xml:space="preserve"> devolution white paper</w:t>
      </w:r>
      <w:r w:rsidR="000D1D69">
        <w:rPr>
          <w:bCs/>
          <w:color w:val="292B2C"/>
          <w:sz w:val="22"/>
          <w:szCs w:val="22"/>
          <w:lang w:val="en"/>
        </w:rPr>
        <w:t>,</w:t>
      </w:r>
      <w:r w:rsidR="000D1D69" w:rsidRPr="00604D3E">
        <w:rPr>
          <w:bCs/>
          <w:color w:val="292B2C"/>
          <w:sz w:val="22"/>
          <w:szCs w:val="22"/>
          <w:lang w:val="en"/>
        </w:rPr>
        <w:t xml:space="preserve"> announced in the Queen’s Speech.</w:t>
      </w:r>
      <w:r w:rsidR="000D1D69" w:rsidRPr="00604D3E">
        <w:rPr>
          <w:bCs/>
          <w:color w:val="auto"/>
          <w:sz w:val="22"/>
          <w:szCs w:val="22"/>
          <w:lang w:val="en"/>
        </w:rPr>
        <w:t xml:space="preserve"> </w:t>
      </w:r>
    </w:p>
    <w:p w14:paraId="35749160" w14:textId="77777777" w:rsidR="000D1D69" w:rsidRDefault="000D1D69" w:rsidP="000D1D69">
      <w:pPr>
        <w:pStyle w:val="Default"/>
        <w:rPr>
          <w:bCs/>
          <w:color w:val="292B2C"/>
          <w:sz w:val="22"/>
          <w:szCs w:val="22"/>
          <w:lang w:val="en"/>
        </w:rPr>
      </w:pPr>
    </w:p>
    <w:p w14:paraId="24957C57" w14:textId="1909595E" w:rsidR="003F6379" w:rsidRDefault="003F6379" w:rsidP="003F6379">
      <w:pPr>
        <w:pStyle w:val="Default"/>
        <w:numPr>
          <w:ilvl w:val="0"/>
          <w:numId w:val="20"/>
        </w:numPr>
        <w:rPr>
          <w:bCs/>
          <w:color w:val="292B2C"/>
          <w:sz w:val="22"/>
          <w:szCs w:val="22"/>
          <w:lang w:val="en"/>
        </w:rPr>
      </w:pPr>
      <w:r>
        <w:rPr>
          <w:bCs/>
          <w:color w:val="292B2C"/>
          <w:sz w:val="22"/>
          <w:szCs w:val="22"/>
          <w:lang w:val="en"/>
        </w:rPr>
        <w:t>Key activity in support of this will include:</w:t>
      </w:r>
    </w:p>
    <w:p w14:paraId="6F87B08F" w14:textId="77777777" w:rsidR="003F6379" w:rsidRDefault="003F6379" w:rsidP="003F6379">
      <w:pPr>
        <w:pStyle w:val="Default"/>
        <w:ind w:left="1440"/>
        <w:rPr>
          <w:bCs/>
          <w:color w:val="292B2C"/>
          <w:sz w:val="22"/>
          <w:szCs w:val="22"/>
          <w:lang w:val="en"/>
        </w:rPr>
      </w:pPr>
    </w:p>
    <w:p w14:paraId="2B84E6C2" w14:textId="4DD8DF83" w:rsidR="003F6379" w:rsidRDefault="003F6379" w:rsidP="003F6379">
      <w:pPr>
        <w:pStyle w:val="Default"/>
        <w:numPr>
          <w:ilvl w:val="1"/>
          <w:numId w:val="20"/>
        </w:numPr>
        <w:rPr>
          <w:bCs/>
          <w:color w:val="292B2C"/>
          <w:sz w:val="22"/>
          <w:szCs w:val="22"/>
          <w:lang w:val="en"/>
        </w:rPr>
      </w:pPr>
      <w:r>
        <w:rPr>
          <w:bCs/>
          <w:color w:val="292B2C"/>
          <w:sz w:val="22"/>
          <w:szCs w:val="22"/>
          <w:lang w:val="en"/>
        </w:rPr>
        <w:t xml:space="preserve">Pursuing a programme of Parliamentary activity, including through select committee evidence and the APPG on reform, decentralisation and devolution, for which the LGA is the secretariat. The APPG held its first meeting of the current cycle in July, which focused on the </w:t>
      </w:r>
      <w:r w:rsidRPr="003F6379">
        <w:rPr>
          <w:bCs/>
          <w:color w:val="292B2C"/>
          <w:sz w:val="22"/>
          <w:szCs w:val="22"/>
          <w:lang w:val="en"/>
        </w:rPr>
        <w:t>future of non-metropolitan England</w:t>
      </w:r>
      <w:r>
        <w:rPr>
          <w:bCs/>
          <w:color w:val="292B2C"/>
          <w:sz w:val="22"/>
          <w:szCs w:val="22"/>
          <w:lang w:val="en"/>
        </w:rPr>
        <w:t>.</w:t>
      </w:r>
    </w:p>
    <w:p w14:paraId="5E1850D7" w14:textId="77777777" w:rsidR="00D8138F" w:rsidRDefault="00D8138F" w:rsidP="00D8138F">
      <w:pPr>
        <w:pStyle w:val="Default"/>
        <w:ind w:left="792"/>
        <w:rPr>
          <w:bCs/>
          <w:color w:val="292B2C"/>
          <w:sz w:val="22"/>
          <w:szCs w:val="22"/>
          <w:lang w:val="en"/>
        </w:rPr>
      </w:pPr>
    </w:p>
    <w:p w14:paraId="7AACB084" w14:textId="014EAEF4" w:rsidR="003F6379" w:rsidRDefault="003F6379" w:rsidP="003F6379">
      <w:pPr>
        <w:pStyle w:val="Default"/>
        <w:numPr>
          <w:ilvl w:val="1"/>
          <w:numId w:val="20"/>
        </w:numPr>
        <w:rPr>
          <w:bCs/>
          <w:color w:val="292B2C"/>
          <w:sz w:val="22"/>
          <w:szCs w:val="22"/>
          <w:lang w:val="en"/>
        </w:rPr>
      </w:pPr>
      <w:r>
        <w:rPr>
          <w:bCs/>
          <w:color w:val="292B2C"/>
          <w:sz w:val="22"/>
          <w:szCs w:val="22"/>
          <w:lang w:val="en"/>
        </w:rPr>
        <w:t xml:space="preserve">Commissioning research that will seek to explore how greater control of financial and fiscal levers might operate in non-metropolitan England. </w:t>
      </w:r>
      <w:proofErr w:type="spellStart"/>
      <w:r>
        <w:rPr>
          <w:bCs/>
          <w:color w:val="292B2C"/>
          <w:sz w:val="22"/>
          <w:szCs w:val="22"/>
          <w:lang w:val="en"/>
        </w:rPr>
        <w:t>Localis</w:t>
      </w:r>
      <w:proofErr w:type="spellEnd"/>
      <w:r>
        <w:rPr>
          <w:bCs/>
          <w:color w:val="292B2C"/>
          <w:sz w:val="22"/>
          <w:szCs w:val="22"/>
          <w:lang w:val="en"/>
        </w:rPr>
        <w:t xml:space="preserve"> have been appointed to deliver this research and will be presenting at the next Board.</w:t>
      </w:r>
    </w:p>
    <w:p w14:paraId="65E2253D" w14:textId="77777777" w:rsidR="00D8138F" w:rsidRDefault="00D8138F" w:rsidP="00D8138F">
      <w:pPr>
        <w:pStyle w:val="Default"/>
        <w:ind w:left="792"/>
        <w:rPr>
          <w:bCs/>
          <w:color w:val="292B2C"/>
          <w:sz w:val="22"/>
          <w:szCs w:val="22"/>
          <w:lang w:val="en"/>
        </w:rPr>
      </w:pPr>
    </w:p>
    <w:p w14:paraId="429A8009" w14:textId="241B2289" w:rsidR="003F6379" w:rsidRDefault="003F6379" w:rsidP="003F6379">
      <w:pPr>
        <w:pStyle w:val="Default"/>
        <w:numPr>
          <w:ilvl w:val="1"/>
          <w:numId w:val="20"/>
        </w:numPr>
        <w:rPr>
          <w:bCs/>
          <w:color w:val="292B2C"/>
          <w:sz w:val="22"/>
          <w:szCs w:val="22"/>
          <w:lang w:val="en"/>
        </w:rPr>
      </w:pPr>
      <w:r>
        <w:rPr>
          <w:bCs/>
          <w:color w:val="292B2C"/>
          <w:sz w:val="22"/>
          <w:szCs w:val="22"/>
          <w:lang w:val="en"/>
        </w:rPr>
        <w:t>Working with the City Regions Board to steer the LGA’s wider devolution policy development and campaigning activity.</w:t>
      </w:r>
    </w:p>
    <w:p w14:paraId="43FABA7F" w14:textId="03124CEF" w:rsidR="000D1D69" w:rsidRPr="000D1D69" w:rsidRDefault="000D1D69" w:rsidP="000D1D69">
      <w:pPr>
        <w:pStyle w:val="Default"/>
        <w:rPr>
          <w:bCs/>
          <w:color w:val="292B2C"/>
          <w:sz w:val="22"/>
          <w:szCs w:val="22"/>
          <w:lang w:val="en"/>
        </w:rPr>
      </w:pPr>
    </w:p>
    <w:p w14:paraId="56DDA618" w14:textId="1520E2A8" w:rsidR="008D45E6" w:rsidRPr="000D1D69" w:rsidRDefault="003B490E" w:rsidP="008D45E6">
      <w:pPr>
        <w:pStyle w:val="Default"/>
        <w:rPr>
          <w:b/>
          <w:bCs/>
          <w:color w:val="auto"/>
          <w:sz w:val="22"/>
          <w:szCs w:val="22"/>
          <w:lang w:val="en"/>
        </w:rPr>
      </w:pPr>
      <w:r w:rsidRPr="000D1D69">
        <w:rPr>
          <w:b/>
          <w:bCs/>
          <w:color w:val="auto"/>
          <w:sz w:val="22"/>
          <w:szCs w:val="22"/>
          <w:lang w:val="en"/>
        </w:rPr>
        <w:t>Digital connectivity</w:t>
      </w:r>
    </w:p>
    <w:p w14:paraId="29A3F7A9" w14:textId="77777777" w:rsidR="008D45E6" w:rsidRPr="008D45E6" w:rsidRDefault="008D45E6" w:rsidP="008D45E6">
      <w:pPr>
        <w:pStyle w:val="Default"/>
        <w:rPr>
          <w:b/>
          <w:bCs/>
          <w:color w:val="292B2C"/>
          <w:sz w:val="22"/>
          <w:szCs w:val="22"/>
          <w:lang w:val="en"/>
        </w:rPr>
      </w:pPr>
    </w:p>
    <w:p w14:paraId="3FA8B4FF" w14:textId="463482B6" w:rsidR="00097934" w:rsidRDefault="00097934" w:rsidP="00097934">
      <w:pPr>
        <w:pStyle w:val="ListParagraph"/>
        <w:numPr>
          <w:ilvl w:val="0"/>
          <w:numId w:val="20"/>
        </w:numPr>
        <w:rPr>
          <w:rFonts w:cs="Arial"/>
        </w:rPr>
      </w:pPr>
      <w:r w:rsidRPr="00097934">
        <w:rPr>
          <w:rFonts w:cs="Arial"/>
        </w:rPr>
        <w:t>Louise Lancaster, Joint Head of the Barrier Busting Task Force in the DCMS Digital Infrastructure team presented to the Board on the Government’s consultation to reform planning regulation to support the deployment of 5G and extend mobile coverage. At the time of writing, a formal submission to the consultation is with the Board for clearance.</w:t>
      </w:r>
    </w:p>
    <w:p w14:paraId="6787656B" w14:textId="77777777" w:rsidR="00097934" w:rsidRDefault="00097934" w:rsidP="00097934">
      <w:pPr>
        <w:pStyle w:val="ListParagraph"/>
        <w:ind w:firstLine="0"/>
        <w:rPr>
          <w:rFonts w:cs="Arial"/>
        </w:rPr>
      </w:pPr>
    </w:p>
    <w:p w14:paraId="526BE847" w14:textId="1EE9349F" w:rsidR="00097934" w:rsidRDefault="00097934" w:rsidP="00097934">
      <w:pPr>
        <w:pStyle w:val="ListParagraph"/>
        <w:numPr>
          <w:ilvl w:val="0"/>
          <w:numId w:val="20"/>
        </w:numPr>
        <w:rPr>
          <w:rFonts w:cs="Arial"/>
        </w:rPr>
      </w:pPr>
      <w:r w:rsidRPr="00097934">
        <w:rPr>
          <w:rFonts w:cs="Arial"/>
        </w:rPr>
        <w:t xml:space="preserve">The LGA has launched </w:t>
      </w:r>
      <w:hyperlink r:id="rId8" w:history="1">
        <w:r w:rsidRPr="00097934">
          <w:rPr>
            <w:rStyle w:val="Hyperlink"/>
            <w:rFonts w:cs="Arial"/>
          </w:rPr>
          <w:t>a councillor’s guide to digital connectivity</w:t>
        </w:r>
      </w:hyperlink>
      <w:r w:rsidRPr="00097934">
        <w:rPr>
          <w:rFonts w:cs="Arial"/>
        </w:rPr>
        <w:t>. The guide, drafted in consultation with mobile network operators and broadband providers, explores how councillors can help better connect local areas and includes hints, tips and case studies from those who have undertaken work to help improve their communit</w:t>
      </w:r>
      <w:r>
        <w:rPr>
          <w:rFonts w:cs="Arial"/>
        </w:rPr>
        <w:t>ie</w:t>
      </w:r>
      <w:r w:rsidRPr="00097934">
        <w:rPr>
          <w:rFonts w:cs="Arial"/>
        </w:rPr>
        <w:t>s</w:t>
      </w:r>
      <w:r>
        <w:rPr>
          <w:rFonts w:cs="Arial"/>
        </w:rPr>
        <w:t>’</w:t>
      </w:r>
      <w:r w:rsidRPr="00097934">
        <w:rPr>
          <w:rFonts w:cs="Arial"/>
        </w:rPr>
        <w:t xml:space="preserve"> connectivity.</w:t>
      </w:r>
    </w:p>
    <w:p w14:paraId="2FBB8CE6" w14:textId="77777777" w:rsidR="00D8138F" w:rsidRDefault="00D8138F" w:rsidP="00D8138F">
      <w:pPr>
        <w:rPr>
          <w:rFonts w:cs="Arial"/>
        </w:rPr>
      </w:pPr>
    </w:p>
    <w:p w14:paraId="1FA85CE0" w14:textId="77777777" w:rsidR="00D8138F" w:rsidRPr="00D8138F" w:rsidRDefault="00D8138F" w:rsidP="00D8138F">
      <w:pPr>
        <w:rPr>
          <w:rFonts w:cs="Arial"/>
        </w:rPr>
      </w:pPr>
      <w:bookmarkStart w:id="1" w:name="_GoBack"/>
      <w:bookmarkEnd w:id="1"/>
    </w:p>
    <w:p w14:paraId="36093F74" w14:textId="7B32AE4D" w:rsidR="008D45E6" w:rsidRPr="008D45E6" w:rsidRDefault="008D45E6" w:rsidP="008D45E6">
      <w:pPr>
        <w:rPr>
          <w:rFonts w:cs="Arial"/>
          <w:b/>
          <w:bCs/>
        </w:rPr>
      </w:pPr>
      <w:r w:rsidRPr="008D45E6">
        <w:rPr>
          <w:rFonts w:cs="Arial"/>
          <w:b/>
          <w:bCs/>
        </w:rPr>
        <w:lastRenderedPageBreak/>
        <w:t xml:space="preserve">Rural Land Management </w:t>
      </w:r>
    </w:p>
    <w:p w14:paraId="16F1969A" w14:textId="0F77A9DB" w:rsidR="000E4CF6" w:rsidRPr="003F6379" w:rsidRDefault="008D45E6" w:rsidP="003B490E">
      <w:pPr>
        <w:pStyle w:val="ListParagraph"/>
        <w:numPr>
          <w:ilvl w:val="0"/>
          <w:numId w:val="20"/>
        </w:numPr>
        <w:rPr>
          <w:rFonts w:cs="Arial"/>
        </w:rPr>
      </w:pPr>
      <w:r w:rsidRPr="008D45E6">
        <w:rPr>
          <w:rFonts w:cs="Arial"/>
        </w:rPr>
        <w:t xml:space="preserve">The findings of the Board’s research on councils’ role in the future of rural land management have provided an excellent platform on which to engage Department for Environment, Food &amp; Rural Affairs (DEFRA). The LGA is now a member of </w:t>
      </w:r>
      <w:r w:rsidR="00604D3E" w:rsidRPr="008D45E6">
        <w:rPr>
          <w:rFonts w:cs="Arial"/>
        </w:rPr>
        <w:t>several</w:t>
      </w:r>
      <w:r w:rsidRPr="008D45E6">
        <w:rPr>
          <w:rFonts w:cs="Arial"/>
        </w:rPr>
        <w:t xml:space="preserve"> DEFRA land management policy sounding groups and will feedback progress to the Board.</w:t>
      </w:r>
    </w:p>
    <w:p w14:paraId="232AC28F" w14:textId="0BDF7754" w:rsidR="003B490E" w:rsidRPr="003B490E" w:rsidRDefault="003B490E" w:rsidP="003B490E">
      <w:pPr>
        <w:pStyle w:val="Default"/>
        <w:rPr>
          <w:b/>
          <w:bCs/>
          <w:color w:val="292B2C"/>
          <w:sz w:val="22"/>
          <w:szCs w:val="22"/>
          <w:lang w:val="en"/>
        </w:rPr>
      </w:pPr>
      <w:r>
        <w:rPr>
          <w:b/>
          <w:bCs/>
          <w:color w:val="292B2C"/>
          <w:sz w:val="22"/>
          <w:szCs w:val="22"/>
          <w:lang w:val="en"/>
        </w:rPr>
        <w:t>Employment and skills</w:t>
      </w:r>
    </w:p>
    <w:p w14:paraId="69FE18E1" w14:textId="77777777" w:rsidR="00604D3E" w:rsidRDefault="00604D3E" w:rsidP="003B490E">
      <w:pPr>
        <w:pStyle w:val="Default"/>
        <w:rPr>
          <w:b/>
          <w:bCs/>
          <w:color w:val="292B2C"/>
          <w:sz w:val="22"/>
          <w:szCs w:val="22"/>
          <w:lang w:val="en"/>
        </w:rPr>
      </w:pPr>
    </w:p>
    <w:p w14:paraId="5C41DCC5" w14:textId="332731C9" w:rsidR="00C333A3" w:rsidRDefault="00C333A3" w:rsidP="00C108A5">
      <w:pPr>
        <w:pStyle w:val="Default"/>
        <w:numPr>
          <w:ilvl w:val="0"/>
          <w:numId w:val="20"/>
        </w:numPr>
        <w:rPr>
          <w:bCs/>
          <w:color w:val="292B2C"/>
          <w:sz w:val="22"/>
          <w:szCs w:val="22"/>
          <w:lang w:val="en"/>
        </w:rPr>
      </w:pPr>
      <w:r>
        <w:rPr>
          <w:bCs/>
          <w:color w:val="292B2C"/>
          <w:sz w:val="22"/>
          <w:szCs w:val="22"/>
          <w:lang w:val="en"/>
        </w:rPr>
        <w:t xml:space="preserve">The Board will work with the City Regions Board to take forward the LGA’s lobbying work on skills and employment over the coming board cycle. </w:t>
      </w:r>
      <w:r w:rsidRPr="00C108A5">
        <w:rPr>
          <w:bCs/>
          <w:color w:val="292B2C"/>
          <w:sz w:val="22"/>
          <w:szCs w:val="22"/>
          <w:lang w:val="en"/>
        </w:rPr>
        <w:t>This will include an enhanced policy focus on youth participation, an issue</w:t>
      </w:r>
      <w:r w:rsidR="00C108A5" w:rsidRPr="00C108A5">
        <w:rPr>
          <w:bCs/>
          <w:color w:val="292B2C"/>
          <w:sz w:val="22"/>
          <w:szCs w:val="22"/>
          <w:lang w:val="en"/>
        </w:rPr>
        <w:t xml:space="preserve"> that was</w:t>
      </w:r>
      <w:r w:rsidRPr="00C108A5">
        <w:rPr>
          <w:bCs/>
          <w:color w:val="292B2C"/>
          <w:sz w:val="22"/>
          <w:szCs w:val="22"/>
          <w:lang w:val="en"/>
        </w:rPr>
        <w:t xml:space="preserve"> discussed by the Board in September. </w:t>
      </w:r>
    </w:p>
    <w:p w14:paraId="01ADBC46" w14:textId="77777777" w:rsidR="00C108A5" w:rsidRDefault="00C108A5" w:rsidP="00C108A5">
      <w:pPr>
        <w:pStyle w:val="Default"/>
        <w:ind w:left="720"/>
        <w:rPr>
          <w:bCs/>
          <w:color w:val="292B2C"/>
          <w:sz w:val="22"/>
          <w:szCs w:val="22"/>
          <w:lang w:val="en"/>
        </w:rPr>
      </w:pPr>
    </w:p>
    <w:p w14:paraId="461F4BC3" w14:textId="425CBC35" w:rsidR="00066948" w:rsidRPr="00C108A5" w:rsidRDefault="00C108A5" w:rsidP="00E8593B">
      <w:pPr>
        <w:pStyle w:val="ListParagraph"/>
        <w:numPr>
          <w:ilvl w:val="0"/>
          <w:numId w:val="20"/>
        </w:numPr>
        <w:jc w:val="both"/>
        <w:rPr>
          <w:rFonts w:cs="Arial"/>
          <w:color w:val="282827"/>
        </w:rPr>
      </w:pPr>
      <w:r w:rsidRPr="00C108A5">
        <w:rPr>
          <w:rFonts w:cs="Arial"/>
          <w:color w:val="282827"/>
        </w:rPr>
        <w:t xml:space="preserve">To shine a light on the importance of good careers, advice and guidance and make a case for improvements to the system, the LGA issued a </w:t>
      </w:r>
      <w:hyperlink r:id="rId9" w:history="1">
        <w:r w:rsidRPr="00C108A5">
          <w:rPr>
            <w:rStyle w:val="Hyperlink"/>
            <w:rFonts w:cs="Arial"/>
          </w:rPr>
          <w:t>press release</w:t>
        </w:r>
      </w:hyperlink>
      <w:r w:rsidRPr="00C108A5">
        <w:rPr>
          <w:rFonts w:cs="Arial"/>
          <w:color w:val="282827"/>
        </w:rPr>
        <w:t xml:space="preserve"> ahead of the GCSE results day in August. This also coincided with NEET quarterly data release showing a spike in figures, which gained some traction from national press.  </w:t>
      </w:r>
    </w:p>
    <w:p w14:paraId="794E3927" w14:textId="311864CF" w:rsidR="00EA1C72" w:rsidRDefault="00604D3E" w:rsidP="0097506E">
      <w:pPr>
        <w:spacing w:after="0" w:line="240" w:lineRule="auto"/>
        <w:jc w:val="both"/>
        <w:rPr>
          <w:rFonts w:cs="Arial"/>
          <w:b/>
          <w:lang w:val="en-US" w:eastAsia="en-GB"/>
        </w:rPr>
      </w:pPr>
      <w:r>
        <w:rPr>
          <w:rFonts w:cs="Arial"/>
          <w:b/>
          <w:lang w:val="en-US" w:eastAsia="en-GB"/>
        </w:rPr>
        <w:t>L</w:t>
      </w:r>
      <w:r w:rsidR="000E6BE9">
        <w:rPr>
          <w:rFonts w:cs="Arial"/>
          <w:b/>
          <w:lang w:val="en-US" w:eastAsia="en-GB"/>
        </w:rPr>
        <w:t>ocal growth</w:t>
      </w:r>
    </w:p>
    <w:p w14:paraId="42C78CCA" w14:textId="77777777" w:rsidR="00604D3E" w:rsidRDefault="00604D3E" w:rsidP="00604D3E">
      <w:pPr>
        <w:spacing w:after="0" w:line="240" w:lineRule="auto"/>
        <w:ind w:left="0" w:firstLine="0"/>
        <w:jc w:val="both"/>
        <w:rPr>
          <w:rFonts w:cs="Arial"/>
          <w:lang w:val="en-US" w:eastAsia="en-GB"/>
        </w:rPr>
      </w:pPr>
    </w:p>
    <w:p w14:paraId="7D6BC826" w14:textId="340BC2E1" w:rsidR="00604D3E" w:rsidRPr="00604D3E" w:rsidRDefault="00604D3E" w:rsidP="00604D3E">
      <w:pPr>
        <w:pStyle w:val="ListParagraph"/>
        <w:numPr>
          <w:ilvl w:val="0"/>
          <w:numId w:val="20"/>
        </w:numPr>
        <w:spacing w:after="0" w:line="240" w:lineRule="auto"/>
        <w:jc w:val="both"/>
        <w:rPr>
          <w:rFonts w:cs="Arial"/>
          <w:lang w:val="en-US" w:eastAsia="en-GB"/>
        </w:rPr>
      </w:pPr>
      <w:r w:rsidRPr="00604D3E">
        <w:rPr>
          <w:rFonts w:cs="Arial"/>
          <w:lang w:val="en-US" w:eastAsia="en-GB"/>
        </w:rPr>
        <w:t xml:space="preserve">Over the coming year, the Board will continue to seek to ensure the key elements of Government’s national economic strategy – Local Industrial Strategies, UK Shared Prosperity Fund and the LEP Review, fit with the priorities and ambitions of non-metropolitan authorities and that councils are well placed to support sustainable and inclusive growth. </w:t>
      </w:r>
      <w:r w:rsidR="00C108A5">
        <w:rPr>
          <w:rFonts w:cs="Arial"/>
          <w:lang w:val="en-US" w:eastAsia="en-GB"/>
        </w:rPr>
        <w:t xml:space="preserve">An </w:t>
      </w:r>
      <w:r w:rsidRPr="00604D3E">
        <w:rPr>
          <w:rFonts w:cs="Arial"/>
          <w:lang w:val="en-US" w:eastAsia="en-GB"/>
        </w:rPr>
        <w:t>MHCLG official ha</w:t>
      </w:r>
      <w:r w:rsidR="00C108A5">
        <w:rPr>
          <w:rFonts w:cs="Arial"/>
          <w:lang w:val="en-US" w:eastAsia="en-GB"/>
        </w:rPr>
        <w:t>s</w:t>
      </w:r>
      <w:r w:rsidRPr="00604D3E">
        <w:rPr>
          <w:rFonts w:cs="Arial"/>
          <w:lang w:val="en-US" w:eastAsia="en-GB"/>
        </w:rPr>
        <w:t xml:space="preserve"> been invited to the next meeting of the Board to discuss the Stronger Towns Fund and its application to towns in non-metropolitan areas.</w:t>
      </w:r>
    </w:p>
    <w:p w14:paraId="02A21FB1" w14:textId="20A66D1F" w:rsidR="000E6BE9" w:rsidRDefault="000E6BE9" w:rsidP="00604D3E">
      <w:pPr>
        <w:spacing w:after="0" w:line="240" w:lineRule="auto"/>
        <w:ind w:left="0" w:firstLine="0"/>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EA1C72" w:rsidRPr="00C723BD" w14:paraId="2DE9D9FB" w14:textId="77777777" w:rsidTr="0097506E">
        <w:trPr>
          <w:trHeight w:val="297"/>
        </w:trPr>
        <w:tc>
          <w:tcPr>
            <w:tcW w:w="3174" w:type="dxa"/>
          </w:tcPr>
          <w:bookmarkEnd w:id="0"/>
          <w:p w14:paraId="5EC1A045" w14:textId="77777777" w:rsidR="00EA1C72" w:rsidRPr="00C723BD" w:rsidRDefault="00EA1C72" w:rsidP="00950192">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38C663A7" w14:textId="77777777" w:rsidR="00EA1C72" w:rsidRPr="00C723BD" w:rsidRDefault="00EA1C72" w:rsidP="0097506E">
            <w:pPr>
              <w:autoSpaceDE w:val="0"/>
              <w:autoSpaceDN w:val="0"/>
              <w:adjustRightInd w:val="0"/>
              <w:spacing w:after="0" w:line="240" w:lineRule="auto"/>
              <w:ind w:left="0" w:firstLine="0"/>
              <w:rPr>
                <w:rFonts w:cs="Arial"/>
                <w:color w:val="000000"/>
              </w:rPr>
            </w:pPr>
            <w:r>
              <w:rPr>
                <w:rFonts w:cs="Arial"/>
                <w:color w:val="000000"/>
              </w:rPr>
              <w:t>Rebecca Cox</w:t>
            </w:r>
          </w:p>
        </w:tc>
      </w:tr>
      <w:tr w:rsidR="00EA1C72" w:rsidRPr="00C723BD" w14:paraId="111857FC" w14:textId="77777777" w:rsidTr="0097506E">
        <w:trPr>
          <w:trHeight w:val="131"/>
        </w:trPr>
        <w:tc>
          <w:tcPr>
            <w:tcW w:w="3174" w:type="dxa"/>
          </w:tcPr>
          <w:p w14:paraId="7F5C43A1" w14:textId="77777777" w:rsidR="00EA1C72" w:rsidRPr="00075F56" w:rsidRDefault="00EA1C72" w:rsidP="00950192">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119B6257" w14:textId="13D36302" w:rsidR="00EA1C72" w:rsidRPr="00C723BD" w:rsidRDefault="00EA1C72" w:rsidP="00950192">
            <w:pPr>
              <w:autoSpaceDE w:val="0"/>
              <w:autoSpaceDN w:val="0"/>
              <w:adjustRightInd w:val="0"/>
              <w:spacing w:before="120" w:after="0" w:line="240" w:lineRule="auto"/>
              <w:rPr>
                <w:rFonts w:cs="Arial"/>
                <w:color w:val="000000"/>
              </w:rPr>
            </w:pPr>
            <w:r>
              <w:rPr>
                <w:rFonts w:cs="Arial"/>
                <w:color w:val="000000"/>
              </w:rPr>
              <w:t>Princip</w:t>
            </w:r>
            <w:r w:rsidR="000E6BE9">
              <w:rPr>
                <w:rFonts w:cs="Arial"/>
                <w:color w:val="000000"/>
              </w:rPr>
              <w:t>al</w:t>
            </w:r>
            <w:r>
              <w:rPr>
                <w:rFonts w:cs="Arial"/>
                <w:color w:val="000000"/>
              </w:rPr>
              <w:t xml:space="preserve"> Policy Adviser</w:t>
            </w:r>
          </w:p>
        </w:tc>
      </w:tr>
      <w:tr w:rsidR="00EA1C72" w:rsidRPr="00C723BD" w14:paraId="19921985" w14:textId="77777777" w:rsidTr="0097506E">
        <w:trPr>
          <w:trHeight w:val="131"/>
        </w:trPr>
        <w:tc>
          <w:tcPr>
            <w:tcW w:w="3174" w:type="dxa"/>
          </w:tcPr>
          <w:p w14:paraId="6DF410BF"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4733640D" w14:textId="77777777" w:rsidR="00EA1C72" w:rsidRPr="00EA1C72" w:rsidRDefault="00EA1C72" w:rsidP="00950192">
            <w:pPr>
              <w:autoSpaceDE w:val="0"/>
              <w:autoSpaceDN w:val="0"/>
              <w:adjustRightInd w:val="0"/>
              <w:spacing w:before="120" w:after="0" w:line="240" w:lineRule="auto"/>
              <w:rPr>
                <w:rFonts w:cs="Arial"/>
                <w:color w:val="000000"/>
              </w:rPr>
            </w:pPr>
            <w:r w:rsidRPr="00EA1C72">
              <w:rPr>
                <w:rFonts w:cs="Arial"/>
              </w:rPr>
              <w:t>020 7187 7384</w:t>
            </w:r>
          </w:p>
        </w:tc>
      </w:tr>
      <w:tr w:rsidR="00EA1C72" w:rsidRPr="00C723BD" w14:paraId="6022EB5A" w14:textId="77777777" w:rsidTr="0097506E">
        <w:trPr>
          <w:trHeight w:val="131"/>
        </w:trPr>
        <w:tc>
          <w:tcPr>
            <w:tcW w:w="3174" w:type="dxa"/>
          </w:tcPr>
          <w:p w14:paraId="14E9D225" w14:textId="77777777" w:rsidR="00EA1C72" w:rsidRPr="00C723BD" w:rsidRDefault="00EA1C72" w:rsidP="00950192">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92F8C36" w14:textId="77777777" w:rsidR="00EA1C72" w:rsidRPr="00C723BD" w:rsidRDefault="00D8138F" w:rsidP="00950192">
            <w:pPr>
              <w:autoSpaceDE w:val="0"/>
              <w:autoSpaceDN w:val="0"/>
              <w:adjustRightInd w:val="0"/>
              <w:spacing w:before="120" w:after="0" w:line="240" w:lineRule="auto"/>
              <w:rPr>
                <w:rFonts w:cs="Arial"/>
                <w:color w:val="000000"/>
              </w:rPr>
            </w:pPr>
            <w:hyperlink r:id="rId10" w:history="1">
              <w:r w:rsidR="00EA1C72" w:rsidRPr="006B47BA">
                <w:rPr>
                  <w:rStyle w:val="Hyperlink"/>
                </w:rPr>
                <w:t>Rebecca.Cox@local.gov.uk</w:t>
              </w:r>
            </w:hyperlink>
            <w:r w:rsidR="00EA1C72">
              <w:t xml:space="preserve"> </w:t>
            </w:r>
          </w:p>
        </w:tc>
      </w:tr>
    </w:tbl>
    <w:p w14:paraId="36ABBF93" w14:textId="77777777" w:rsidR="00EA1C72" w:rsidRPr="00E8593B" w:rsidRDefault="00EA1C72" w:rsidP="00EA1C72">
      <w:pPr>
        <w:pStyle w:val="ListParagraph"/>
        <w:spacing w:after="0" w:line="240" w:lineRule="auto"/>
        <w:ind w:left="360" w:firstLine="0"/>
        <w:jc w:val="both"/>
      </w:pPr>
    </w:p>
    <w:p w14:paraId="75E1491C" w14:textId="77777777" w:rsidR="003A0CAE" w:rsidRDefault="003A0CAE"/>
    <w:sectPr w:rsidR="003A0C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6258" w14:textId="77777777" w:rsidR="00682B79" w:rsidRDefault="00682B79" w:rsidP="00E8593B">
      <w:pPr>
        <w:spacing w:after="0" w:line="240" w:lineRule="auto"/>
      </w:pPr>
      <w:r>
        <w:separator/>
      </w:r>
    </w:p>
  </w:endnote>
  <w:endnote w:type="continuationSeparator" w:id="0">
    <w:p w14:paraId="4A51C633" w14:textId="77777777" w:rsidR="00682B79" w:rsidRDefault="00682B79"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9C15" w14:textId="77777777" w:rsidR="00AC0334" w:rsidRPr="003219CC" w:rsidRDefault="00AC0334" w:rsidP="00E8593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886D73A" w14:textId="77777777" w:rsidR="00AC0334" w:rsidRDefault="00AC0334">
    <w:pPr>
      <w:pStyle w:val="Footer"/>
    </w:pPr>
  </w:p>
  <w:p w14:paraId="47FBA0D0" w14:textId="77777777" w:rsidR="00AC0334" w:rsidRDefault="00AC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DBBD" w14:textId="77777777" w:rsidR="00682B79" w:rsidRDefault="00682B79" w:rsidP="00E8593B">
      <w:pPr>
        <w:spacing w:after="0" w:line="240" w:lineRule="auto"/>
      </w:pPr>
      <w:r>
        <w:separator/>
      </w:r>
    </w:p>
  </w:footnote>
  <w:footnote w:type="continuationSeparator" w:id="0">
    <w:p w14:paraId="1B8DC1DC" w14:textId="77777777" w:rsidR="00682B79" w:rsidRDefault="00682B79" w:rsidP="00E8593B">
      <w:pPr>
        <w:spacing w:after="0" w:line="240" w:lineRule="auto"/>
      </w:pPr>
      <w:r>
        <w:continuationSeparator/>
      </w:r>
    </w:p>
  </w:footnote>
  <w:footnote w:id="1">
    <w:p w14:paraId="60CD4086" w14:textId="283E8BCE" w:rsidR="00C333A3" w:rsidRDefault="00C333A3">
      <w:pPr>
        <w:pStyle w:val="FootnoteText"/>
      </w:pPr>
      <w:r>
        <w:rPr>
          <w:rStyle w:val="FootnoteReference"/>
        </w:rPr>
        <w:footnoteRef/>
      </w:r>
      <w:r>
        <w:t xml:space="preserve"> </w:t>
      </w:r>
      <w:hyperlink r:id="rId1" w:history="1">
        <w:r>
          <w:rPr>
            <w:rStyle w:val="Hyperlink"/>
          </w:rPr>
          <w:t>http://lga.moderngov.co.uk/documents/g4258/Public%20reports%20pack%2011th-Sep-2019%2011.00%20People%20Places%20Board.pdf?T=10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9EA1" w14:textId="77777777" w:rsidR="00AC0334" w:rsidRDefault="00AC0334" w:rsidP="00E8593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334" w:rsidRPr="00C25CA7" w14:paraId="4D4CD379" w14:textId="77777777" w:rsidTr="00950192">
      <w:trPr>
        <w:trHeight w:val="416"/>
      </w:trPr>
      <w:tc>
        <w:tcPr>
          <w:tcW w:w="5812" w:type="dxa"/>
          <w:vMerge w:val="restart"/>
        </w:tcPr>
        <w:p w14:paraId="7B5B4CB1" w14:textId="77777777" w:rsidR="00AC0334" w:rsidRPr="00C803F3" w:rsidRDefault="00AC0334" w:rsidP="00E8593B">
          <w:r w:rsidRPr="00C803F3">
            <w:rPr>
              <w:noProof/>
              <w:lang w:eastAsia="en-GB"/>
            </w:rPr>
            <w:drawing>
              <wp:inline distT="0" distB="0" distL="0" distR="0" wp14:anchorId="227B335D" wp14:editId="6B6E4B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3050F309FD84D48AB4B1C527981A52D"/>
          </w:placeholder>
        </w:sdtPr>
        <w:sdtEndPr/>
        <w:sdtContent>
          <w:tc>
            <w:tcPr>
              <w:tcW w:w="4106" w:type="dxa"/>
            </w:tcPr>
            <w:p w14:paraId="789A2A11" w14:textId="77777777" w:rsidR="00AC0334" w:rsidRPr="00C803F3" w:rsidRDefault="00AC0334" w:rsidP="00E8593B">
              <w:r w:rsidRPr="0097506E">
                <w:rPr>
                  <w:b/>
                </w:rPr>
                <w:t>Councillors Forum</w:t>
              </w:r>
            </w:p>
          </w:tc>
        </w:sdtContent>
      </w:sdt>
    </w:tr>
    <w:tr w:rsidR="00AC0334" w14:paraId="4E67C32C" w14:textId="77777777" w:rsidTr="00950192">
      <w:trPr>
        <w:trHeight w:val="406"/>
      </w:trPr>
      <w:tc>
        <w:tcPr>
          <w:tcW w:w="5812" w:type="dxa"/>
          <w:vMerge/>
        </w:tcPr>
        <w:p w14:paraId="1759A832" w14:textId="77777777" w:rsidR="00AC0334" w:rsidRPr="00A627DD" w:rsidRDefault="00AC0334" w:rsidP="00E8593B"/>
      </w:tc>
      <w:tc>
        <w:tcPr>
          <w:tcW w:w="4106" w:type="dxa"/>
        </w:tcPr>
        <w:sdt>
          <w:sdtPr>
            <w:alias w:val="Date"/>
            <w:tag w:val="Date"/>
            <w:id w:val="-488943452"/>
            <w:placeholder>
              <w:docPart w:val="A293481AC9464E2D959920EE9626AE8A"/>
            </w:placeholder>
            <w:date w:fullDate="2019-10-31T00:00:00Z">
              <w:dateFormat w:val="dd MMMM yyyy"/>
              <w:lid w:val="en-GB"/>
              <w:storeMappedDataAs w:val="dateTime"/>
              <w:calendar w:val="gregorian"/>
            </w:date>
          </w:sdtPr>
          <w:sdtEndPr/>
          <w:sdtContent>
            <w:p w14:paraId="65963478" w14:textId="70F174B4" w:rsidR="00AC0334" w:rsidRPr="00C803F3" w:rsidRDefault="00066948" w:rsidP="00E8593B">
              <w:pPr>
                <w:ind w:left="0" w:firstLine="0"/>
              </w:pPr>
              <w:r>
                <w:t>31 October</w:t>
              </w:r>
              <w:r w:rsidR="00AC0334">
                <w:t xml:space="preserve"> 2019</w:t>
              </w:r>
            </w:p>
          </w:sdtContent>
        </w:sdt>
      </w:tc>
    </w:tr>
    <w:tr w:rsidR="00AC0334" w:rsidRPr="00C25CA7" w14:paraId="1E504D34" w14:textId="77777777" w:rsidTr="00950192">
      <w:trPr>
        <w:trHeight w:val="89"/>
      </w:trPr>
      <w:tc>
        <w:tcPr>
          <w:tcW w:w="5812" w:type="dxa"/>
          <w:vMerge/>
        </w:tcPr>
        <w:p w14:paraId="7DB7582E" w14:textId="77777777" w:rsidR="00AC0334" w:rsidRPr="00A627DD" w:rsidRDefault="00AC0334" w:rsidP="00E8593B"/>
      </w:tc>
      <w:tc>
        <w:tcPr>
          <w:tcW w:w="4106" w:type="dxa"/>
        </w:tcPr>
        <w:p w14:paraId="7DBEDDCF" w14:textId="77777777" w:rsidR="00AC0334" w:rsidRPr="00C803F3" w:rsidRDefault="00AC0334" w:rsidP="00E8593B"/>
      </w:tc>
    </w:tr>
  </w:tbl>
  <w:p w14:paraId="09AE993D" w14:textId="77777777" w:rsidR="00AC0334" w:rsidRDefault="00AC0334">
    <w:pPr>
      <w:pStyle w:val="Header"/>
    </w:pPr>
  </w:p>
  <w:p w14:paraId="0A39685E" w14:textId="77777777" w:rsidR="00AC0334" w:rsidRDefault="00AC0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876"/>
    <w:multiLevelType w:val="hybridMultilevel"/>
    <w:tmpl w:val="10E22F50"/>
    <w:lvl w:ilvl="0" w:tplc="FB885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D27A5"/>
    <w:multiLevelType w:val="hybridMultilevel"/>
    <w:tmpl w:val="0F6E69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66A63"/>
    <w:multiLevelType w:val="hybridMultilevel"/>
    <w:tmpl w:val="93C21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F051D3"/>
    <w:multiLevelType w:val="hybridMultilevel"/>
    <w:tmpl w:val="849C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C56C9"/>
    <w:multiLevelType w:val="hybridMultilevel"/>
    <w:tmpl w:val="F6B88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11273"/>
    <w:multiLevelType w:val="hybridMultilevel"/>
    <w:tmpl w:val="A34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76A33"/>
    <w:multiLevelType w:val="hybridMultilevel"/>
    <w:tmpl w:val="F606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2496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7A704A"/>
    <w:multiLevelType w:val="hybridMultilevel"/>
    <w:tmpl w:val="0818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142A3"/>
    <w:multiLevelType w:val="hybridMultilevel"/>
    <w:tmpl w:val="9C0C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B48BC"/>
    <w:multiLevelType w:val="hybridMultilevel"/>
    <w:tmpl w:val="175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A64ED1"/>
    <w:multiLevelType w:val="hybridMultilevel"/>
    <w:tmpl w:val="AA6A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E211D"/>
    <w:multiLevelType w:val="hybridMultilevel"/>
    <w:tmpl w:val="E53A993C"/>
    <w:lvl w:ilvl="0" w:tplc="EE223A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222CD8"/>
    <w:multiLevelType w:val="hybridMultilevel"/>
    <w:tmpl w:val="C3DAFC90"/>
    <w:lvl w:ilvl="0" w:tplc="EE000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003A0"/>
    <w:multiLevelType w:val="hybridMultilevel"/>
    <w:tmpl w:val="BD50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A20BA"/>
    <w:multiLevelType w:val="hybridMultilevel"/>
    <w:tmpl w:val="D1DA2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14A50"/>
    <w:multiLevelType w:val="hybridMultilevel"/>
    <w:tmpl w:val="5FD2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767C2D"/>
    <w:multiLevelType w:val="hybridMultilevel"/>
    <w:tmpl w:val="22C41986"/>
    <w:lvl w:ilvl="0" w:tplc="E24AB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C212F"/>
    <w:multiLevelType w:val="hybridMultilevel"/>
    <w:tmpl w:val="95A20BF6"/>
    <w:lvl w:ilvl="0" w:tplc="EFDC7F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05E7E"/>
    <w:multiLevelType w:val="hybridMultilevel"/>
    <w:tmpl w:val="962E00A8"/>
    <w:lvl w:ilvl="0" w:tplc="DD886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57B34"/>
    <w:multiLevelType w:val="hybridMultilevel"/>
    <w:tmpl w:val="26A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20"/>
  </w:num>
  <w:num w:numId="5">
    <w:abstractNumId w:val="15"/>
  </w:num>
  <w:num w:numId="6">
    <w:abstractNumId w:val="9"/>
  </w:num>
  <w:num w:numId="7">
    <w:abstractNumId w:val="17"/>
  </w:num>
  <w:num w:numId="8">
    <w:abstractNumId w:val="11"/>
  </w:num>
  <w:num w:numId="9">
    <w:abstractNumId w:val="5"/>
  </w:num>
  <w:num w:numId="10">
    <w:abstractNumId w:val="18"/>
  </w:num>
  <w:num w:numId="11">
    <w:abstractNumId w:val="8"/>
  </w:num>
  <w:num w:numId="12">
    <w:abstractNumId w:val="4"/>
  </w:num>
  <w:num w:numId="13">
    <w:abstractNumId w:val="14"/>
  </w:num>
  <w:num w:numId="14">
    <w:abstractNumId w:val="16"/>
  </w:num>
  <w:num w:numId="15">
    <w:abstractNumId w:val="3"/>
  </w:num>
  <w:num w:numId="16">
    <w:abstractNumId w:val="13"/>
  </w:num>
  <w:num w:numId="17">
    <w:abstractNumId w:val="12"/>
  </w:num>
  <w:num w:numId="18">
    <w:abstractNumId w:val="19"/>
  </w:num>
  <w:num w:numId="19">
    <w:abstractNumId w:val="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B"/>
    <w:rsid w:val="00066948"/>
    <w:rsid w:val="000713D4"/>
    <w:rsid w:val="00097934"/>
    <w:rsid w:val="000D1D69"/>
    <w:rsid w:val="000E39AD"/>
    <w:rsid w:val="000E4CF6"/>
    <w:rsid w:val="000E6BE9"/>
    <w:rsid w:val="00185578"/>
    <w:rsid w:val="00254A83"/>
    <w:rsid w:val="00333A39"/>
    <w:rsid w:val="003A0CAE"/>
    <w:rsid w:val="003B490E"/>
    <w:rsid w:val="003F1FB7"/>
    <w:rsid w:val="003F6379"/>
    <w:rsid w:val="004E6FE0"/>
    <w:rsid w:val="00534F30"/>
    <w:rsid w:val="005E0D45"/>
    <w:rsid w:val="00604D3E"/>
    <w:rsid w:val="00642FD2"/>
    <w:rsid w:val="00682B79"/>
    <w:rsid w:val="006F3B89"/>
    <w:rsid w:val="00803AF8"/>
    <w:rsid w:val="008D45E6"/>
    <w:rsid w:val="00950192"/>
    <w:rsid w:val="0097506E"/>
    <w:rsid w:val="009E7A5C"/>
    <w:rsid w:val="00AC0334"/>
    <w:rsid w:val="00B77338"/>
    <w:rsid w:val="00C108A5"/>
    <w:rsid w:val="00C333A3"/>
    <w:rsid w:val="00C6642E"/>
    <w:rsid w:val="00D450A5"/>
    <w:rsid w:val="00D8138F"/>
    <w:rsid w:val="00E24C81"/>
    <w:rsid w:val="00E356D7"/>
    <w:rsid w:val="00E42AE4"/>
    <w:rsid w:val="00E8593B"/>
    <w:rsid w:val="00EA1C72"/>
    <w:rsid w:val="00F1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1A5"/>
  <w15:chartTrackingRefBased/>
  <w15:docId w15:val="{E15FDF86-CEF8-42B8-9B31-6F248EC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B"/>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593B"/>
    <w:rPr>
      <w:sz w:val="16"/>
      <w:szCs w:val="16"/>
    </w:rPr>
  </w:style>
  <w:style w:type="paragraph" w:styleId="CommentText">
    <w:name w:val="annotation text"/>
    <w:basedOn w:val="Normal"/>
    <w:link w:val="CommentTextChar"/>
    <w:uiPriority w:val="99"/>
    <w:semiHidden/>
    <w:unhideWhenUsed/>
    <w:rsid w:val="00E8593B"/>
    <w:pPr>
      <w:spacing w:line="240" w:lineRule="auto"/>
    </w:pPr>
    <w:rPr>
      <w:sz w:val="20"/>
      <w:szCs w:val="20"/>
    </w:rPr>
  </w:style>
  <w:style w:type="character" w:customStyle="1" w:styleId="CommentTextChar">
    <w:name w:val="Comment Text Char"/>
    <w:basedOn w:val="DefaultParagraphFont"/>
    <w:link w:val="CommentText"/>
    <w:uiPriority w:val="99"/>
    <w:semiHidden/>
    <w:rsid w:val="00E8593B"/>
    <w:rPr>
      <w:rFonts w:ascii="Arial" w:hAnsi="Arial"/>
      <w:sz w:val="20"/>
      <w:szCs w:val="20"/>
    </w:rPr>
  </w:style>
  <w:style w:type="character" w:styleId="Hyperlink">
    <w:name w:val="Hyperlink"/>
    <w:basedOn w:val="DefaultParagraphFont"/>
    <w:uiPriority w:val="99"/>
    <w:unhideWhenUsed/>
    <w:rsid w:val="00E8593B"/>
    <w:rPr>
      <w:color w:val="0563C1"/>
      <w:u w:val="single"/>
    </w:rPr>
  </w:style>
  <w:style w:type="paragraph" w:styleId="BalloonText">
    <w:name w:val="Balloon Text"/>
    <w:basedOn w:val="Normal"/>
    <w:link w:val="BalloonTextChar"/>
    <w:uiPriority w:val="99"/>
    <w:semiHidden/>
    <w:unhideWhenUsed/>
    <w:rsid w:val="00E8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3B"/>
    <w:rPr>
      <w:rFonts w:ascii="Segoe UI" w:hAnsi="Segoe UI" w:cs="Segoe UI"/>
      <w:sz w:val="18"/>
      <w:szCs w:val="18"/>
    </w:rPr>
  </w:style>
  <w:style w:type="paragraph" w:styleId="Header">
    <w:name w:val="header"/>
    <w:basedOn w:val="Normal"/>
    <w:link w:val="HeaderChar"/>
    <w:uiPriority w:val="99"/>
    <w:unhideWhenUsed/>
    <w:rsid w:val="00E8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3B"/>
    <w:rPr>
      <w:rFonts w:ascii="Arial" w:hAnsi="Arial"/>
    </w:rPr>
  </w:style>
  <w:style w:type="paragraph" w:styleId="Footer">
    <w:name w:val="footer"/>
    <w:basedOn w:val="Normal"/>
    <w:link w:val="FooterChar"/>
    <w:uiPriority w:val="99"/>
    <w:unhideWhenUsed/>
    <w:rsid w:val="00E8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3B"/>
    <w:rPr>
      <w:rFonts w:ascii="Arial" w:hAnsi="Arial"/>
    </w:rPr>
  </w:style>
  <w:style w:type="table" w:styleId="TableGrid">
    <w:name w:val="Table Grid"/>
    <w:basedOn w:val="TableNormal"/>
    <w:uiPriority w:val="39"/>
    <w:rsid w:val="00E8593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3B"/>
    <w:pPr>
      <w:ind w:left="720"/>
      <w:contextualSpacing/>
    </w:pPr>
  </w:style>
  <w:style w:type="paragraph" w:customStyle="1" w:styleId="p1">
    <w:name w:val="p1"/>
    <w:basedOn w:val="Normal"/>
    <w:rsid w:val="005E0D45"/>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AC0334"/>
    <w:rPr>
      <w:b/>
      <w:bCs/>
    </w:rPr>
  </w:style>
  <w:style w:type="paragraph" w:styleId="FootnoteText">
    <w:name w:val="footnote text"/>
    <w:basedOn w:val="Normal"/>
    <w:link w:val="FootnoteTextChar"/>
    <w:uiPriority w:val="99"/>
    <w:semiHidden/>
    <w:unhideWhenUsed/>
    <w:rsid w:val="00C33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3A3"/>
    <w:rPr>
      <w:rFonts w:ascii="Arial" w:hAnsi="Arial"/>
      <w:sz w:val="20"/>
      <w:szCs w:val="20"/>
    </w:rPr>
  </w:style>
  <w:style w:type="character" w:styleId="FootnoteReference">
    <w:name w:val="footnote reference"/>
    <w:basedOn w:val="DefaultParagraphFont"/>
    <w:uiPriority w:val="99"/>
    <w:semiHidden/>
    <w:unhideWhenUsed/>
    <w:rsid w:val="00C33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84">
      <w:bodyDiv w:val="1"/>
      <w:marLeft w:val="0"/>
      <w:marRight w:val="0"/>
      <w:marTop w:val="0"/>
      <w:marBottom w:val="0"/>
      <w:divBdr>
        <w:top w:val="none" w:sz="0" w:space="0" w:color="auto"/>
        <w:left w:val="none" w:sz="0" w:space="0" w:color="auto"/>
        <w:bottom w:val="none" w:sz="0" w:space="0" w:color="auto"/>
        <w:right w:val="none" w:sz="0" w:space="0" w:color="auto"/>
      </w:divBdr>
    </w:div>
    <w:div w:id="259997453">
      <w:bodyDiv w:val="1"/>
      <w:marLeft w:val="0"/>
      <w:marRight w:val="0"/>
      <w:marTop w:val="0"/>
      <w:marBottom w:val="0"/>
      <w:divBdr>
        <w:top w:val="none" w:sz="0" w:space="0" w:color="auto"/>
        <w:left w:val="none" w:sz="0" w:space="0" w:color="auto"/>
        <w:bottom w:val="none" w:sz="0" w:space="0" w:color="auto"/>
        <w:right w:val="none" w:sz="0" w:space="0" w:color="auto"/>
      </w:divBdr>
    </w:div>
    <w:div w:id="262349367">
      <w:bodyDiv w:val="1"/>
      <w:marLeft w:val="0"/>
      <w:marRight w:val="0"/>
      <w:marTop w:val="0"/>
      <w:marBottom w:val="0"/>
      <w:divBdr>
        <w:top w:val="none" w:sz="0" w:space="0" w:color="auto"/>
        <w:left w:val="none" w:sz="0" w:space="0" w:color="auto"/>
        <w:bottom w:val="none" w:sz="0" w:space="0" w:color="auto"/>
        <w:right w:val="none" w:sz="0" w:space="0" w:color="auto"/>
      </w:divBdr>
    </w:div>
    <w:div w:id="394819523">
      <w:bodyDiv w:val="1"/>
      <w:marLeft w:val="0"/>
      <w:marRight w:val="0"/>
      <w:marTop w:val="0"/>
      <w:marBottom w:val="0"/>
      <w:divBdr>
        <w:top w:val="none" w:sz="0" w:space="0" w:color="auto"/>
        <w:left w:val="none" w:sz="0" w:space="0" w:color="auto"/>
        <w:bottom w:val="none" w:sz="0" w:space="0" w:color="auto"/>
        <w:right w:val="none" w:sz="0" w:space="0" w:color="auto"/>
      </w:divBdr>
    </w:div>
    <w:div w:id="872309233">
      <w:bodyDiv w:val="1"/>
      <w:marLeft w:val="0"/>
      <w:marRight w:val="0"/>
      <w:marTop w:val="0"/>
      <w:marBottom w:val="0"/>
      <w:divBdr>
        <w:top w:val="none" w:sz="0" w:space="0" w:color="auto"/>
        <w:left w:val="none" w:sz="0" w:space="0" w:color="auto"/>
        <w:bottom w:val="none" w:sz="0" w:space="0" w:color="auto"/>
        <w:right w:val="none" w:sz="0" w:space="0" w:color="auto"/>
      </w:divBdr>
    </w:div>
    <w:div w:id="1265651455">
      <w:bodyDiv w:val="1"/>
      <w:marLeft w:val="0"/>
      <w:marRight w:val="0"/>
      <w:marTop w:val="0"/>
      <w:marBottom w:val="0"/>
      <w:divBdr>
        <w:top w:val="none" w:sz="0" w:space="0" w:color="auto"/>
        <w:left w:val="none" w:sz="0" w:space="0" w:color="auto"/>
        <w:bottom w:val="none" w:sz="0" w:space="0" w:color="auto"/>
        <w:right w:val="none" w:sz="0" w:space="0" w:color="auto"/>
      </w:divBdr>
    </w:div>
    <w:div w:id="1599170133">
      <w:bodyDiv w:val="1"/>
      <w:marLeft w:val="0"/>
      <w:marRight w:val="0"/>
      <w:marTop w:val="0"/>
      <w:marBottom w:val="0"/>
      <w:divBdr>
        <w:top w:val="none" w:sz="0" w:space="0" w:color="auto"/>
        <w:left w:val="none" w:sz="0" w:space="0" w:color="auto"/>
        <w:bottom w:val="none" w:sz="0" w:space="0" w:color="auto"/>
        <w:right w:val="none" w:sz="0" w:space="0" w:color="auto"/>
      </w:divBdr>
    </w:div>
    <w:div w:id="1881360717">
      <w:bodyDiv w:val="1"/>
      <w:marLeft w:val="0"/>
      <w:marRight w:val="0"/>
      <w:marTop w:val="0"/>
      <w:marBottom w:val="0"/>
      <w:divBdr>
        <w:top w:val="none" w:sz="0" w:space="0" w:color="auto"/>
        <w:left w:val="none" w:sz="0" w:space="0" w:color="auto"/>
        <w:bottom w:val="none" w:sz="0" w:space="0" w:color="auto"/>
        <w:right w:val="none" w:sz="0" w:space="0" w:color="auto"/>
      </w:divBdr>
    </w:div>
    <w:div w:id="18929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councillors-guide-digital-connectivity-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ecca.Cox@local.gov.uk" TargetMode="External"/><Relationship Id="rId4" Type="http://schemas.openxmlformats.org/officeDocument/2006/relationships/settings" Target="settings.xml"/><Relationship Id="rId9" Type="http://schemas.openxmlformats.org/officeDocument/2006/relationships/hyperlink" Target="https://www.local.gov.uk/about/news/devolve-powers-and-funding-get-more-young-people-work-lga-says-neet-numbers-ris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ga.moderngov.co.uk/documents/g4258/Public%20reports%20pack%2011th-Sep-2019%2011.00%20People%20Places%20Board.pdf?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50F309FD84D48AB4B1C527981A52D"/>
        <w:category>
          <w:name w:val="General"/>
          <w:gallery w:val="placeholder"/>
        </w:category>
        <w:types>
          <w:type w:val="bbPlcHdr"/>
        </w:types>
        <w:behaviors>
          <w:behavior w:val="content"/>
        </w:behaviors>
        <w:guid w:val="{164A05A1-6ED8-402E-876B-65FFA74A3094}"/>
      </w:docPartPr>
      <w:docPartBody>
        <w:p w:rsidR="002F161D" w:rsidRDefault="007E170E" w:rsidP="007E170E">
          <w:pPr>
            <w:pStyle w:val="33050F309FD84D48AB4B1C527981A52D"/>
          </w:pPr>
          <w:r w:rsidRPr="00FB1144">
            <w:rPr>
              <w:rStyle w:val="PlaceholderText"/>
            </w:rPr>
            <w:t>Click here to enter text.</w:t>
          </w:r>
        </w:p>
      </w:docPartBody>
    </w:docPart>
    <w:docPart>
      <w:docPartPr>
        <w:name w:val="A293481AC9464E2D959920EE9626AE8A"/>
        <w:category>
          <w:name w:val="General"/>
          <w:gallery w:val="placeholder"/>
        </w:category>
        <w:types>
          <w:type w:val="bbPlcHdr"/>
        </w:types>
        <w:behaviors>
          <w:behavior w:val="content"/>
        </w:behaviors>
        <w:guid w:val="{FD57DFBC-4ACE-46AB-A028-EDD1D1AE92BA}"/>
      </w:docPartPr>
      <w:docPartBody>
        <w:p w:rsidR="002F161D" w:rsidRDefault="007E170E" w:rsidP="007E170E">
          <w:pPr>
            <w:pStyle w:val="A293481AC9464E2D959920EE9626A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E"/>
    <w:rsid w:val="002F161D"/>
    <w:rsid w:val="007E170E"/>
    <w:rsid w:val="00807C41"/>
    <w:rsid w:val="00AC64ED"/>
    <w:rsid w:val="00B034F7"/>
    <w:rsid w:val="00B4528A"/>
    <w:rsid w:val="00C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731878EC4438B859B2F75B6B01DC">
    <w:name w:val="6DAA731878EC4438B859B2F75B6B01DC"/>
    <w:rsid w:val="007E170E"/>
  </w:style>
  <w:style w:type="character" w:styleId="PlaceholderText">
    <w:name w:val="Placeholder Text"/>
    <w:basedOn w:val="DefaultParagraphFont"/>
    <w:uiPriority w:val="99"/>
    <w:semiHidden/>
    <w:rsid w:val="007E170E"/>
    <w:rPr>
      <w:color w:val="808080"/>
    </w:rPr>
  </w:style>
  <w:style w:type="paragraph" w:customStyle="1" w:styleId="33050F309FD84D48AB4B1C527981A52D">
    <w:name w:val="33050F309FD84D48AB4B1C527981A52D"/>
    <w:rsid w:val="007E170E"/>
  </w:style>
  <w:style w:type="paragraph" w:customStyle="1" w:styleId="A293481AC9464E2D959920EE9626AE8A">
    <w:name w:val="A293481AC9464E2D959920EE9626AE8A"/>
    <w:rsid w:val="007E170E"/>
  </w:style>
  <w:style w:type="paragraph" w:customStyle="1" w:styleId="E6706E04FB994CD2A787D014B93F75F6">
    <w:name w:val="E6706E04FB994CD2A787D014B93F75F6"/>
    <w:rsid w:val="007E1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3D95-0909-4D18-A246-264EB648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9AA9F69</Template>
  <TotalTime>0</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2019-10-28T13:23:00Z</dcterms:created>
  <dcterms:modified xsi:type="dcterms:W3CDTF">2019-10-28T13:23:00Z</dcterms:modified>
</cp:coreProperties>
</file>